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8E" w:rsidRPr="00B1028E" w:rsidRDefault="00B1028E" w:rsidP="00421062">
      <w:pPr>
        <w:pStyle w:val="Heading1"/>
        <w:jc w:val="center"/>
        <w:rPr>
          <w:rFonts w:cs="Arial"/>
        </w:rP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-333375</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028E">
        <w:rPr>
          <w:rFonts w:cs="Arial"/>
        </w:rPr>
        <w:t>Gift Acceptance Policy</w:t>
      </w:r>
    </w:p>
    <w:p w:rsidR="00421062" w:rsidRDefault="00421062" w:rsidP="00B1028E">
      <w:pPr>
        <w:pStyle w:val="Heading2"/>
      </w:pPr>
    </w:p>
    <w:p w:rsidR="00B1028E" w:rsidRDefault="00B1028E" w:rsidP="00B1028E">
      <w:pPr>
        <w:pStyle w:val="Heading2"/>
      </w:pPr>
      <w:r>
        <w:t xml:space="preserve">Statement of </w:t>
      </w:r>
      <w:r w:rsidRPr="00E20CDA">
        <w:t xml:space="preserve">Purpose </w:t>
      </w:r>
    </w:p>
    <w:p w:rsidR="00B1028E" w:rsidRPr="00E20CDA" w:rsidRDefault="00B1028E" w:rsidP="00B1028E">
      <w:pPr>
        <w:spacing w:after="0" w:line="240" w:lineRule="auto"/>
        <w:rPr>
          <w:rFonts w:cs="Arial"/>
          <w:color w:val="000000"/>
          <w:szCs w:val="24"/>
        </w:rPr>
      </w:pPr>
      <w:r w:rsidRPr="00E20CDA">
        <w:rPr>
          <w:rFonts w:cs="Arial"/>
          <w:color w:val="000000"/>
          <w:szCs w:val="24"/>
        </w:rPr>
        <w:t xml:space="preserve">The Perth East Public Library accepts monetary gifts from individuals, service clubs, profit and non-profit organizations as well as donated gifts-in-kind, to </w:t>
      </w:r>
      <w:proofErr w:type="gramStart"/>
      <w:r w:rsidRPr="00E20CDA">
        <w:rPr>
          <w:rFonts w:cs="Arial"/>
          <w:color w:val="000000"/>
          <w:szCs w:val="24"/>
        </w:rPr>
        <w:t>be used</w:t>
      </w:r>
      <w:proofErr w:type="gramEnd"/>
      <w:r w:rsidRPr="00E20CDA">
        <w:rPr>
          <w:rFonts w:cs="Arial"/>
          <w:color w:val="000000"/>
          <w:szCs w:val="24"/>
        </w:rPr>
        <w:t xml:space="preserve"> to benefit the community by enhancing the quality of Library services.</w:t>
      </w:r>
    </w:p>
    <w:p w:rsidR="00B1028E" w:rsidRDefault="00B1028E" w:rsidP="00B1028E">
      <w:pPr>
        <w:spacing w:after="0" w:line="240" w:lineRule="auto"/>
        <w:rPr>
          <w:rFonts w:cs="Arial"/>
          <w:color w:val="000000"/>
          <w:szCs w:val="24"/>
        </w:rPr>
      </w:pPr>
    </w:p>
    <w:p w:rsidR="00B1028E" w:rsidRDefault="00B1028E" w:rsidP="00B1028E">
      <w:pPr>
        <w:spacing w:after="0" w:line="240" w:lineRule="auto"/>
        <w:rPr>
          <w:rFonts w:cs="Arial"/>
          <w:color w:val="000000"/>
          <w:szCs w:val="24"/>
        </w:rPr>
      </w:pPr>
      <w:r w:rsidRPr="00E20CDA">
        <w:rPr>
          <w:rFonts w:cs="Arial"/>
          <w:color w:val="000000"/>
          <w:szCs w:val="24"/>
        </w:rPr>
        <w:t>The Board is committed to practices that respect the rights of the donor to truthful information and privacy, result in responsible management of the funds and gifts entrusted to the Library, and permit the accurate and complete reporting of the Library’s financial affairs.</w:t>
      </w:r>
      <w:r>
        <w:rPr>
          <w:rFonts w:cs="Arial"/>
          <w:color w:val="000000"/>
          <w:szCs w:val="24"/>
        </w:rPr>
        <w:t xml:space="preserve"> </w:t>
      </w:r>
    </w:p>
    <w:p w:rsidR="00B1028E" w:rsidRPr="00E20CDA" w:rsidRDefault="00B1028E" w:rsidP="00B1028E">
      <w:pPr>
        <w:spacing w:after="0" w:line="240" w:lineRule="auto"/>
        <w:rPr>
          <w:rFonts w:cs="Arial"/>
          <w:color w:val="000000"/>
          <w:szCs w:val="24"/>
        </w:rPr>
      </w:pPr>
    </w:p>
    <w:p w:rsidR="00B1028E" w:rsidRPr="00E20CDA" w:rsidRDefault="00B1028E" w:rsidP="00B1028E">
      <w:pPr>
        <w:pStyle w:val="Heading2"/>
      </w:pPr>
      <w:r w:rsidRPr="00E20CDA">
        <w:t>Types of Gifts</w:t>
      </w:r>
    </w:p>
    <w:p w:rsidR="00B1028E" w:rsidRDefault="00B1028E" w:rsidP="00B1028E">
      <w:pPr>
        <w:spacing w:after="0" w:line="240" w:lineRule="auto"/>
        <w:rPr>
          <w:rFonts w:cs="Arial"/>
          <w:color w:val="000000"/>
          <w:szCs w:val="24"/>
        </w:rPr>
      </w:pPr>
      <w:r w:rsidRPr="00E20CDA">
        <w:rPr>
          <w:rFonts w:cs="Arial"/>
          <w:color w:val="000000"/>
          <w:szCs w:val="24"/>
        </w:rPr>
        <w:t>Gifts offered to the Library will fall into one of three categories:</w:t>
      </w:r>
    </w:p>
    <w:p w:rsidR="00B1028E" w:rsidRPr="00B1028E" w:rsidRDefault="00B1028E" w:rsidP="00B1028E">
      <w:pPr>
        <w:pStyle w:val="ListParagraph"/>
        <w:numPr>
          <w:ilvl w:val="0"/>
          <w:numId w:val="1"/>
        </w:numPr>
        <w:spacing w:after="0" w:line="240" w:lineRule="auto"/>
        <w:rPr>
          <w:rFonts w:cs="Arial"/>
          <w:color w:val="000000"/>
          <w:szCs w:val="24"/>
        </w:rPr>
      </w:pPr>
      <w:r w:rsidRPr="00B1028E">
        <w:rPr>
          <w:rFonts w:cs="Arial"/>
          <w:color w:val="000000"/>
          <w:szCs w:val="24"/>
        </w:rPr>
        <w:t>Unrestricted monetary gifts – gifts of money that are donated to the Library without restriction as to the use of the gift</w:t>
      </w:r>
    </w:p>
    <w:p w:rsidR="00B1028E" w:rsidRPr="00E20CDA" w:rsidRDefault="00B1028E" w:rsidP="00B1028E">
      <w:pPr>
        <w:pStyle w:val="ListParagraph"/>
        <w:numPr>
          <w:ilvl w:val="0"/>
          <w:numId w:val="1"/>
        </w:numPr>
        <w:spacing w:after="0" w:line="240" w:lineRule="auto"/>
        <w:rPr>
          <w:rFonts w:cs="Arial"/>
          <w:color w:val="000000"/>
          <w:szCs w:val="24"/>
        </w:rPr>
      </w:pPr>
      <w:r w:rsidRPr="00E20CDA">
        <w:rPr>
          <w:rFonts w:cs="Arial"/>
          <w:color w:val="000000"/>
          <w:szCs w:val="24"/>
        </w:rPr>
        <w:t>Unrestricted gifts-in-kind – non-monetary gifts that do not have conditions as to their use and/or disposition</w:t>
      </w:r>
    </w:p>
    <w:p w:rsidR="00B1028E" w:rsidRPr="00E20CDA" w:rsidRDefault="00B1028E" w:rsidP="00B1028E">
      <w:pPr>
        <w:pStyle w:val="ListParagraph"/>
        <w:numPr>
          <w:ilvl w:val="0"/>
          <w:numId w:val="1"/>
        </w:numPr>
        <w:spacing w:after="0" w:line="240" w:lineRule="auto"/>
        <w:rPr>
          <w:rFonts w:cs="Arial"/>
          <w:color w:val="000000"/>
          <w:szCs w:val="24"/>
        </w:rPr>
      </w:pPr>
      <w:r w:rsidRPr="00E20CDA">
        <w:rPr>
          <w:rFonts w:cs="Arial"/>
          <w:color w:val="000000"/>
          <w:szCs w:val="24"/>
        </w:rPr>
        <w:t>Conditional gifts – any gift that has conditions attached to its use and/or disposition</w:t>
      </w:r>
    </w:p>
    <w:p w:rsidR="00B1028E" w:rsidRPr="00E20CDA" w:rsidRDefault="00B1028E" w:rsidP="00B1028E">
      <w:pPr>
        <w:pStyle w:val="Heading2"/>
      </w:pPr>
    </w:p>
    <w:p w:rsidR="00B1028E" w:rsidRPr="00B1028E" w:rsidRDefault="00B1028E" w:rsidP="00B1028E">
      <w:pPr>
        <w:pStyle w:val="Heading2"/>
      </w:pPr>
      <w:r w:rsidRPr="00B1028E">
        <w:t>Acceptable Gifts</w:t>
      </w:r>
    </w:p>
    <w:p w:rsidR="00B1028E" w:rsidRPr="00E20CDA" w:rsidRDefault="00B1028E" w:rsidP="00B1028E">
      <w:pPr>
        <w:pStyle w:val="ListParagraph"/>
        <w:numPr>
          <w:ilvl w:val="0"/>
          <w:numId w:val="5"/>
        </w:numPr>
        <w:spacing w:after="0" w:line="240" w:lineRule="auto"/>
        <w:rPr>
          <w:rFonts w:cs="Arial"/>
          <w:color w:val="000000"/>
          <w:szCs w:val="24"/>
        </w:rPr>
      </w:pPr>
      <w:r w:rsidRPr="00E20CDA">
        <w:rPr>
          <w:rFonts w:cs="Arial"/>
          <w:color w:val="000000"/>
          <w:szCs w:val="24"/>
        </w:rPr>
        <w:t xml:space="preserve">Monetary donations – while unrestricted gifts are preferable, conditional monetary gifts </w:t>
      </w:r>
      <w:proofErr w:type="gramStart"/>
      <w:r w:rsidRPr="00E20CDA">
        <w:rPr>
          <w:rFonts w:cs="Arial"/>
          <w:color w:val="000000"/>
          <w:szCs w:val="24"/>
        </w:rPr>
        <w:t>may be accepted</w:t>
      </w:r>
      <w:proofErr w:type="gramEnd"/>
      <w:r w:rsidRPr="00E20CDA">
        <w:rPr>
          <w:rFonts w:cs="Arial"/>
          <w:color w:val="000000"/>
          <w:szCs w:val="24"/>
        </w:rPr>
        <w:t xml:space="preserve"> if the use stipulated by the donor is consistent with the policies and objectives of the Perth East Public Library Board.</w:t>
      </w:r>
    </w:p>
    <w:p w:rsidR="00B1028E" w:rsidRPr="00E20CDA" w:rsidRDefault="00B1028E" w:rsidP="00B1028E">
      <w:pPr>
        <w:spacing w:after="0" w:line="240" w:lineRule="auto"/>
        <w:rPr>
          <w:rFonts w:cs="Arial"/>
          <w:color w:val="000000"/>
          <w:szCs w:val="24"/>
        </w:rPr>
      </w:pPr>
    </w:p>
    <w:p w:rsidR="00B1028E" w:rsidRPr="00E20CDA" w:rsidRDefault="00B1028E" w:rsidP="00B1028E">
      <w:pPr>
        <w:pStyle w:val="ListParagraph"/>
        <w:numPr>
          <w:ilvl w:val="0"/>
          <w:numId w:val="5"/>
        </w:numPr>
        <w:spacing w:after="0" w:line="240" w:lineRule="auto"/>
        <w:rPr>
          <w:rFonts w:cs="Arial"/>
          <w:color w:val="000000"/>
          <w:szCs w:val="24"/>
        </w:rPr>
      </w:pPr>
      <w:r w:rsidRPr="00E20CDA">
        <w:rPr>
          <w:rFonts w:cs="Arial"/>
          <w:color w:val="000000"/>
          <w:szCs w:val="24"/>
        </w:rPr>
        <w:t>Collection materials – are accepted as per the Perth East Public Library’s Collection Development Policy</w:t>
      </w:r>
    </w:p>
    <w:p w:rsidR="00B1028E" w:rsidRPr="00E20CDA" w:rsidRDefault="00B1028E" w:rsidP="00B1028E">
      <w:pPr>
        <w:spacing w:after="0" w:line="240" w:lineRule="auto"/>
        <w:rPr>
          <w:rFonts w:cs="Arial"/>
          <w:color w:val="000000"/>
          <w:szCs w:val="24"/>
        </w:rPr>
      </w:pPr>
    </w:p>
    <w:p w:rsidR="00B1028E" w:rsidRPr="00E20CDA" w:rsidRDefault="00B1028E" w:rsidP="00B1028E">
      <w:pPr>
        <w:pStyle w:val="ListParagraph"/>
        <w:numPr>
          <w:ilvl w:val="0"/>
          <w:numId w:val="5"/>
        </w:numPr>
        <w:spacing w:after="0" w:line="240" w:lineRule="auto"/>
        <w:rPr>
          <w:rFonts w:cs="Arial"/>
          <w:color w:val="000000"/>
          <w:szCs w:val="24"/>
        </w:rPr>
      </w:pPr>
      <w:r w:rsidRPr="00E20CDA">
        <w:rPr>
          <w:rFonts w:cs="Arial"/>
          <w:color w:val="000000"/>
          <w:szCs w:val="24"/>
        </w:rPr>
        <w:t>Personal property (including furniture, art objects, antiques, etc.) – are NOT generally accepted as gifts unless the gift meets the mission and needs of the Library (this will be determined by the Boa</w:t>
      </w:r>
      <w:r>
        <w:rPr>
          <w:rFonts w:cs="Arial"/>
          <w:color w:val="000000"/>
          <w:szCs w:val="24"/>
        </w:rPr>
        <w:t xml:space="preserve">rd). </w:t>
      </w:r>
      <w:r w:rsidRPr="00E20CDA">
        <w:rPr>
          <w:rFonts w:cs="Arial"/>
          <w:color w:val="000000"/>
          <w:szCs w:val="24"/>
        </w:rPr>
        <w:t>The acceptance of the gift does not imply that the Library will retain or display the gift.</w:t>
      </w:r>
    </w:p>
    <w:p w:rsidR="00B1028E" w:rsidRPr="00E20CDA" w:rsidRDefault="00B1028E" w:rsidP="00B1028E">
      <w:pPr>
        <w:spacing w:after="0" w:line="240" w:lineRule="auto"/>
        <w:rPr>
          <w:rFonts w:cs="Arial"/>
          <w:color w:val="000000"/>
          <w:szCs w:val="24"/>
        </w:rPr>
      </w:pPr>
    </w:p>
    <w:p w:rsidR="00B1028E" w:rsidRPr="00E20CDA" w:rsidRDefault="00B1028E" w:rsidP="00B1028E">
      <w:pPr>
        <w:spacing w:after="0" w:line="240" w:lineRule="auto"/>
        <w:rPr>
          <w:rFonts w:cs="Arial"/>
          <w:color w:val="000000"/>
          <w:szCs w:val="24"/>
        </w:rPr>
      </w:pPr>
      <w:r w:rsidRPr="00E20CDA">
        <w:rPr>
          <w:rFonts w:cs="Arial"/>
          <w:color w:val="000000"/>
          <w:szCs w:val="24"/>
        </w:rPr>
        <w:t>Gifts of real estate, securities, annuities, beq</w:t>
      </w:r>
      <w:r>
        <w:rPr>
          <w:rFonts w:cs="Arial"/>
          <w:color w:val="000000"/>
          <w:szCs w:val="24"/>
        </w:rPr>
        <w:t xml:space="preserve">uests and other similar gifts </w:t>
      </w:r>
      <w:proofErr w:type="gramStart"/>
      <w:r w:rsidRPr="00E20CDA">
        <w:rPr>
          <w:rFonts w:cs="Arial"/>
          <w:color w:val="000000"/>
          <w:szCs w:val="24"/>
        </w:rPr>
        <w:t>will be accepted</w:t>
      </w:r>
      <w:proofErr w:type="gramEnd"/>
      <w:r w:rsidRPr="00E20CDA">
        <w:rPr>
          <w:rFonts w:cs="Arial"/>
          <w:color w:val="000000"/>
          <w:szCs w:val="24"/>
        </w:rPr>
        <w:t>.</w:t>
      </w:r>
    </w:p>
    <w:p w:rsidR="00B1028E" w:rsidRDefault="00B1028E" w:rsidP="00B1028E">
      <w:pPr>
        <w:spacing w:after="0" w:line="240" w:lineRule="auto"/>
        <w:rPr>
          <w:rFonts w:cs="Arial"/>
          <w:b/>
          <w:color w:val="000000"/>
          <w:szCs w:val="24"/>
        </w:rPr>
      </w:pPr>
    </w:p>
    <w:p w:rsidR="00B1028E" w:rsidRPr="00E20CDA" w:rsidRDefault="00B1028E" w:rsidP="00B1028E">
      <w:pPr>
        <w:pStyle w:val="Heading2"/>
      </w:pPr>
      <w:r w:rsidRPr="00E20CDA">
        <w:t>Acceptance of Gifts</w:t>
      </w:r>
    </w:p>
    <w:p w:rsidR="00B1028E" w:rsidRPr="00E20CDA" w:rsidRDefault="00B1028E" w:rsidP="00B1028E">
      <w:pPr>
        <w:spacing w:after="0" w:line="240" w:lineRule="auto"/>
        <w:rPr>
          <w:rFonts w:cs="Arial"/>
          <w:color w:val="000000"/>
          <w:szCs w:val="24"/>
        </w:rPr>
      </w:pPr>
      <w:r w:rsidRPr="00E20CDA">
        <w:rPr>
          <w:rFonts w:cs="Arial"/>
          <w:color w:val="000000"/>
          <w:szCs w:val="24"/>
        </w:rPr>
        <w:t xml:space="preserve">Gift offers made to the Library are accepted or rejected </w:t>
      </w:r>
      <w:proofErr w:type="gramStart"/>
      <w:r w:rsidRPr="00E20CDA">
        <w:rPr>
          <w:rFonts w:cs="Arial"/>
          <w:color w:val="000000"/>
          <w:szCs w:val="24"/>
        </w:rPr>
        <w:t>on the basis of</w:t>
      </w:r>
      <w:proofErr w:type="gramEnd"/>
      <w:r w:rsidRPr="00E20CDA">
        <w:rPr>
          <w:rFonts w:cs="Arial"/>
          <w:color w:val="000000"/>
          <w:szCs w:val="24"/>
        </w:rPr>
        <w:t xml:space="preserve"> suitability to the Library’s mission, policies, décor and availability of space for housing or display.  The Library reserves the right to refuse a gift if:</w:t>
      </w:r>
    </w:p>
    <w:p w:rsidR="00B1028E" w:rsidRPr="00E20CDA" w:rsidRDefault="00B1028E" w:rsidP="00B1028E">
      <w:pPr>
        <w:pStyle w:val="ListParagraph"/>
        <w:numPr>
          <w:ilvl w:val="0"/>
          <w:numId w:val="2"/>
        </w:numPr>
        <w:spacing w:after="0" w:line="240" w:lineRule="auto"/>
        <w:rPr>
          <w:rFonts w:cs="Arial"/>
          <w:color w:val="000000"/>
          <w:szCs w:val="24"/>
        </w:rPr>
      </w:pPr>
      <w:r w:rsidRPr="00E20CDA">
        <w:rPr>
          <w:rFonts w:cs="Arial"/>
          <w:color w:val="000000"/>
          <w:szCs w:val="24"/>
        </w:rPr>
        <w:t>The cost of owne</w:t>
      </w:r>
      <w:bookmarkStart w:id="0" w:name="_GoBack"/>
      <w:bookmarkEnd w:id="0"/>
      <w:r w:rsidRPr="00E20CDA">
        <w:rPr>
          <w:rFonts w:cs="Arial"/>
          <w:color w:val="000000"/>
          <w:szCs w:val="24"/>
        </w:rPr>
        <w:t>rship would be prohibitive</w:t>
      </w:r>
    </w:p>
    <w:p w:rsidR="00B1028E" w:rsidRPr="00E20CDA" w:rsidRDefault="00B1028E" w:rsidP="00B1028E">
      <w:pPr>
        <w:pStyle w:val="ListParagraph"/>
        <w:numPr>
          <w:ilvl w:val="0"/>
          <w:numId w:val="2"/>
        </w:numPr>
        <w:spacing w:after="0" w:line="240" w:lineRule="auto"/>
        <w:rPr>
          <w:rFonts w:cs="Arial"/>
          <w:color w:val="000000"/>
          <w:szCs w:val="24"/>
        </w:rPr>
      </w:pPr>
      <w:r w:rsidRPr="00E20CDA">
        <w:rPr>
          <w:rFonts w:cs="Arial"/>
          <w:color w:val="000000"/>
          <w:szCs w:val="24"/>
        </w:rPr>
        <w:t>The donor wishers to exert unacceptable conditions over the donation of the gift or over the disbursement of revenue realized from the disposal of a gift</w:t>
      </w:r>
    </w:p>
    <w:p w:rsidR="00B1028E" w:rsidRPr="00E20CDA" w:rsidRDefault="00B1028E" w:rsidP="00B1028E">
      <w:pPr>
        <w:pStyle w:val="ListParagraph"/>
        <w:numPr>
          <w:ilvl w:val="0"/>
          <w:numId w:val="2"/>
        </w:numPr>
        <w:spacing w:after="0" w:line="240" w:lineRule="auto"/>
        <w:rPr>
          <w:rFonts w:cs="Arial"/>
          <w:color w:val="000000"/>
          <w:szCs w:val="24"/>
        </w:rPr>
      </w:pPr>
      <w:r w:rsidRPr="00E20CDA">
        <w:rPr>
          <w:rFonts w:cs="Arial"/>
          <w:color w:val="000000"/>
          <w:szCs w:val="24"/>
        </w:rPr>
        <w:t>There are unacceptable risks associated with the receipt of the gift</w:t>
      </w:r>
    </w:p>
    <w:p w:rsidR="00B1028E" w:rsidRPr="00E20CDA" w:rsidRDefault="00B1028E" w:rsidP="00B1028E">
      <w:pPr>
        <w:pStyle w:val="ListParagraph"/>
        <w:numPr>
          <w:ilvl w:val="0"/>
          <w:numId w:val="2"/>
        </w:numPr>
        <w:spacing w:after="0" w:line="240" w:lineRule="auto"/>
        <w:rPr>
          <w:rFonts w:cs="Arial"/>
          <w:color w:val="000000"/>
          <w:szCs w:val="24"/>
        </w:rPr>
      </w:pPr>
      <w:r w:rsidRPr="00E20CDA">
        <w:rPr>
          <w:rFonts w:cs="Arial"/>
          <w:color w:val="000000"/>
          <w:szCs w:val="24"/>
        </w:rPr>
        <w:t>If the gift is illegal or has questionable provenance</w:t>
      </w:r>
    </w:p>
    <w:p w:rsidR="00B1028E" w:rsidRPr="00E20CDA" w:rsidRDefault="00B1028E" w:rsidP="00B1028E">
      <w:pPr>
        <w:spacing w:after="0" w:line="240" w:lineRule="auto"/>
        <w:rPr>
          <w:rFonts w:cs="Arial"/>
          <w:color w:val="000000"/>
          <w:szCs w:val="24"/>
        </w:rPr>
      </w:pPr>
    </w:p>
    <w:p w:rsidR="00B1028E" w:rsidRPr="00E20CDA" w:rsidRDefault="00B1028E" w:rsidP="00B1028E">
      <w:pPr>
        <w:spacing w:after="0" w:line="240" w:lineRule="auto"/>
        <w:rPr>
          <w:rFonts w:cs="Arial"/>
          <w:color w:val="000000"/>
          <w:szCs w:val="24"/>
        </w:rPr>
      </w:pPr>
      <w:r w:rsidRPr="00E20CDA">
        <w:rPr>
          <w:rFonts w:cs="Arial"/>
          <w:color w:val="000000"/>
          <w:szCs w:val="24"/>
        </w:rPr>
        <w:t xml:space="preserve">Any gift accepted by the Library </w:t>
      </w:r>
      <w:proofErr w:type="gramStart"/>
      <w:r w:rsidRPr="00E20CDA">
        <w:rPr>
          <w:rFonts w:cs="Arial"/>
          <w:color w:val="000000"/>
          <w:szCs w:val="24"/>
        </w:rPr>
        <w:t>is accepted</w:t>
      </w:r>
      <w:proofErr w:type="gramEnd"/>
      <w:r w:rsidRPr="00E20CDA">
        <w:rPr>
          <w:rFonts w:cs="Arial"/>
          <w:color w:val="000000"/>
          <w:szCs w:val="24"/>
        </w:rPr>
        <w:t xml:space="preserve"> subject to the following terms and conditions:</w:t>
      </w:r>
    </w:p>
    <w:p w:rsidR="00B1028E" w:rsidRPr="00E20CDA" w:rsidRDefault="00B1028E" w:rsidP="00B1028E">
      <w:pPr>
        <w:pStyle w:val="ListParagraph"/>
        <w:numPr>
          <w:ilvl w:val="0"/>
          <w:numId w:val="3"/>
        </w:numPr>
        <w:spacing w:after="0" w:line="240" w:lineRule="auto"/>
        <w:rPr>
          <w:rFonts w:cs="Arial"/>
          <w:color w:val="000000"/>
          <w:szCs w:val="24"/>
        </w:rPr>
      </w:pPr>
      <w:r w:rsidRPr="00E20CDA">
        <w:rPr>
          <w:rFonts w:cs="Arial"/>
          <w:color w:val="000000"/>
          <w:szCs w:val="24"/>
        </w:rPr>
        <w:t>Upon request, the Library must receive evidence that the donor has the authority to make a gift of the donated item(s)</w:t>
      </w:r>
    </w:p>
    <w:p w:rsidR="00B1028E" w:rsidRPr="00E20CDA" w:rsidRDefault="00B1028E" w:rsidP="00B1028E">
      <w:pPr>
        <w:pStyle w:val="ListParagraph"/>
        <w:numPr>
          <w:ilvl w:val="0"/>
          <w:numId w:val="3"/>
        </w:numPr>
        <w:spacing w:after="0" w:line="240" w:lineRule="auto"/>
        <w:rPr>
          <w:rFonts w:cs="Arial"/>
          <w:color w:val="000000"/>
          <w:szCs w:val="24"/>
        </w:rPr>
      </w:pPr>
      <w:r w:rsidRPr="00E20CDA">
        <w:rPr>
          <w:rFonts w:cs="Arial"/>
          <w:color w:val="000000"/>
          <w:szCs w:val="24"/>
        </w:rPr>
        <w:t>The Library retains unconditional ownership of the gift</w:t>
      </w:r>
    </w:p>
    <w:p w:rsidR="00B1028E" w:rsidRPr="00E20CDA" w:rsidRDefault="00B1028E" w:rsidP="00B1028E">
      <w:pPr>
        <w:pStyle w:val="ListParagraph"/>
        <w:numPr>
          <w:ilvl w:val="0"/>
          <w:numId w:val="3"/>
        </w:numPr>
        <w:spacing w:after="0" w:line="240" w:lineRule="auto"/>
        <w:rPr>
          <w:rFonts w:cs="Arial"/>
          <w:color w:val="000000"/>
          <w:szCs w:val="24"/>
        </w:rPr>
      </w:pPr>
      <w:r w:rsidRPr="00E20CDA">
        <w:rPr>
          <w:rFonts w:cs="Arial"/>
          <w:color w:val="000000"/>
          <w:szCs w:val="24"/>
        </w:rPr>
        <w:t>The Library makes all decisions regarding the use or disposal of the gift and has no responsibility to inform the donor of such decisions</w:t>
      </w:r>
    </w:p>
    <w:p w:rsidR="00B1028E" w:rsidRPr="00E20CDA" w:rsidRDefault="00B1028E" w:rsidP="00B1028E">
      <w:pPr>
        <w:spacing w:after="0" w:line="240" w:lineRule="auto"/>
        <w:rPr>
          <w:rFonts w:cs="Arial"/>
          <w:color w:val="000000"/>
          <w:szCs w:val="24"/>
        </w:rPr>
      </w:pPr>
    </w:p>
    <w:p w:rsidR="00B1028E" w:rsidRPr="00E20CDA" w:rsidRDefault="00B1028E" w:rsidP="00B1028E">
      <w:pPr>
        <w:pStyle w:val="Heading2"/>
      </w:pPr>
      <w:r w:rsidRPr="00E20CDA">
        <w:t>Authority to accept gifts</w:t>
      </w:r>
    </w:p>
    <w:p w:rsidR="00B1028E" w:rsidRDefault="00B1028E" w:rsidP="00B1028E">
      <w:pPr>
        <w:spacing w:after="0" w:line="240" w:lineRule="auto"/>
        <w:rPr>
          <w:rFonts w:cs="Arial"/>
          <w:color w:val="000000"/>
          <w:szCs w:val="24"/>
        </w:rPr>
      </w:pPr>
      <w:r w:rsidRPr="00E20CDA">
        <w:rPr>
          <w:rFonts w:cs="Arial"/>
          <w:color w:val="000000"/>
          <w:szCs w:val="24"/>
        </w:rPr>
        <w:t>The CEO or his/her designate has the authority to accept unrestricted monetary gifts.  The authority to receive conditional gifts or gifts other than cash or Library materials rests with the Perth East Public Library Board.</w:t>
      </w:r>
    </w:p>
    <w:p w:rsidR="00B1028E" w:rsidRPr="00B1028E" w:rsidRDefault="00B1028E" w:rsidP="00B1028E">
      <w:pPr>
        <w:spacing w:after="0" w:line="240" w:lineRule="auto"/>
        <w:rPr>
          <w:rFonts w:cs="Arial"/>
          <w:color w:val="000000"/>
          <w:szCs w:val="24"/>
        </w:rPr>
      </w:pPr>
    </w:p>
    <w:p w:rsidR="00B1028E" w:rsidRPr="00B1028E" w:rsidRDefault="00B1028E" w:rsidP="00B1028E">
      <w:pPr>
        <w:pStyle w:val="Heading2"/>
      </w:pPr>
      <w:r w:rsidRPr="00B1028E">
        <w:t>Appraisal of Gifts</w:t>
      </w:r>
    </w:p>
    <w:p w:rsidR="00B1028E" w:rsidRPr="00E20CDA" w:rsidRDefault="00B1028E" w:rsidP="00B1028E">
      <w:pPr>
        <w:spacing w:after="0" w:line="240" w:lineRule="auto"/>
        <w:rPr>
          <w:rFonts w:cs="Arial"/>
          <w:color w:val="000000"/>
          <w:szCs w:val="24"/>
        </w:rPr>
      </w:pPr>
      <w:r w:rsidRPr="00E20CDA">
        <w:rPr>
          <w:rFonts w:cs="Arial"/>
          <w:color w:val="000000"/>
          <w:szCs w:val="24"/>
        </w:rPr>
        <w:t xml:space="preserve">The Perth East Public Library will not assign a monetary value on gifts.  If appraisals </w:t>
      </w:r>
      <w:proofErr w:type="gramStart"/>
      <w:r w:rsidRPr="00E20CDA">
        <w:rPr>
          <w:rFonts w:cs="Arial"/>
          <w:color w:val="000000"/>
          <w:szCs w:val="24"/>
        </w:rPr>
        <w:t>are desired</w:t>
      </w:r>
      <w:proofErr w:type="gramEnd"/>
      <w:r w:rsidRPr="00E20CDA">
        <w:rPr>
          <w:rFonts w:cs="Arial"/>
          <w:color w:val="000000"/>
          <w:szCs w:val="24"/>
        </w:rPr>
        <w:t xml:space="preserve"> for the purposes of issuing a tax receipt, they must be undertaken at the expense of the donor.</w:t>
      </w:r>
    </w:p>
    <w:p w:rsidR="00B1028E" w:rsidRPr="00E20CDA" w:rsidRDefault="00B1028E" w:rsidP="00B1028E">
      <w:pPr>
        <w:spacing w:after="0" w:line="240" w:lineRule="auto"/>
        <w:rPr>
          <w:rFonts w:cs="Arial"/>
          <w:color w:val="000000"/>
          <w:szCs w:val="24"/>
        </w:rPr>
      </w:pPr>
    </w:p>
    <w:p w:rsidR="00B1028E" w:rsidRPr="00E20CDA" w:rsidRDefault="00B1028E" w:rsidP="00B1028E">
      <w:pPr>
        <w:pStyle w:val="Heading2"/>
      </w:pPr>
      <w:r w:rsidRPr="00E20CDA">
        <w:t>Tax Receipts</w:t>
      </w:r>
    </w:p>
    <w:p w:rsidR="00421062" w:rsidRDefault="00B1028E" w:rsidP="00421062">
      <w:pPr>
        <w:pStyle w:val="ListParagraph"/>
        <w:numPr>
          <w:ilvl w:val="0"/>
          <w:numId w:val="6"/>
        </w:numPr>
        <w:spacing w:after="0" w:line="240" w:lineRule="auto"/>
        <w:rPr>
          <w:rFonts w:cs="Arial"/>
          <w:color w:val="000000"/>
          <w:szCs w:val="24"/>
        </w:rPr>
      </w:pPr>
      <w:r w:rsidRPr="00421062">
        <w:rPr>
          <w:rFonts w:cs="Arial"/>
          <w:color w:val="000000"/>
          <w:szCs w:val="24"/>
        </w:rPr>
        <w:t xml:space="preserve">The Perth East Public Library is not a registered charitable organization and therefore cannot issue receipts for tax purposes.  </w:t>
      </w:r>
    </w:p>
    <w:p w:rsidR="00421062" w:rsidRDefault="00B1028E" w:rsidP="00421062">
      <w:pPr>
        <w:pStyle w:val="ListParagraph"/>
        <w:numPr>
          <w:ilvl w:val="1"/>
          <w:numId w:val="6"/>
        </w:numPr>
        <w:spacing w:after="0" w:line="240" w:lineRule="auto"/>
        <w:rPr>
          <w:rFonts w:cs="Arial"/>
          <w:color w:val="000000"/>
          <w:szCs w:val="24"/>
        </w:rPr>
      </w:pPr>
      <w:r w:rsidRPr="00421062">
        <w:rPr>
          <w:rFonts w:cs="Arial"/>
          <w:color w:val="000000"/>
          <w:szCs w:val="24"/>
        </w:rPr>
        <w:t xml:space="preserve">However, the Municipality of the Township of Perth East </w:t>
      </w:r>
      <w:proofErr w:type="gramStart"/>
      <w:r w:rsidRPr="00421062">
        <w:rPr>
          <w:rFonts w:cs="Arial"/>
          <w:color w:val="000000"/>
          <w:szCs w:val="24"/>
        </w:rPr>
        <w:t>is authorized</w:t>
      </w:r>
      <w:proofErr w:type="gramEnd"/>
      <w:r w:rsidRPr="00421062">
        <w:rPr>
          <w:rFonts w:cs="Arial"/>
          <w:color w:val="000000"/>
          <w:szCs w:val="24"/>
        </w:rPr>
        <w:t xml:space="preserve"> to issue tax receipts for donations to the Library.  </w:t>
      </w:r>
    </w:p>
    <w:p w:rsidR="00421062" w:rsidRDefault="00B1028E" w:rsidP="00421062">
      <w:pPr>
        <w:pStyle w:val="ListParagraph"/>
        <w:numPr>
          <w:ilvl w:val="0"/>
          <w:numId w:val="6"/>
        </w:numPr>
        <w:spacing w:after="0" w:line="240" w:lineRule="auto"/>
        <w:rPr>
          <w:rFonts w:cs="Arial"/>
          <w:color w:val="000000"/>
          <w:szCs w:val="24"/>
        </w:rPr>
      </w:pPr>
      <w:r w:rsidRPr="00421062">
        <w:rPr>
          <w:rFonts w:cs="Arial"/>
          <w:color w:val="000000"/>
          <w:szCs w:val="24"/>
        </w:rPr>
        <w:t xml:space="preserve">Upon request, tax receipts </w:t>
      </w:r>
      <w:proofErr w:type="gramStart"/>
      <w:r w:rsidRPr="00421062">
        <w:rPr>
          <w:rFonts w:cs="Arial"/>
          <w:color w:val="000000"/>
          <w:szCs w:val="24"/>
        </w:rPr>
        <w:t>will be issued</w:t>
      </w:r>
      <w:proofErr w:type="gramEnd"/>
      <w:r w:rsidRPr="00421062">
        <w:rPr>
          <w:rFonts w:cs="Arial"/>
          <w:color w:val="000000"/>
          <w:szCs w:val="24"/>
        </w:rPr>
        <w:t xml:space="preserve"> for the appraised value of a donation in accordance with the regulations of Revenue Canada.  </w:t>
      </w:r>
    </w:p>
    <w:p w:rsidR="00421062" w:rsidRDefault="00B1028E" w:rsidP="00421062">
      <w:pPr>
        <w:pStyle w:val="ListParagraph"/>
        <w:numPr>
          <w:ilvl w:val="0"/>
          <w:numId w:val="6"/>
        </w:numPr>
        <w:spacing w:after="0" w:line="240" w:lineRule="auto"/>
        <w:rPr>
          <w:rFonts w:cs="Arial"/>
          <w:color w:val="000000"/>
          <w:szCs w:val="24"/>
        </w:rPr>
      </w:pPr>
      <w:r w:rsidRPr="00421062">
        <w:rPr>
          <w:rFonts w:cs="Arial"/>
          <w:color w:val="000000"/>
          <w:szCs w:val="24"/>
        </w:rPr>
        <w:t xml:space="preserve">Tax receipts will be issued based on the date of the donation where the </w:t>
      </w:r>
      <w:proofErr w:type="gramStart"/>
      <w:r w:rsidRPr="00421062">
        <w:rPr>
          <w:rFonts w:cs="Arial"/>
          <w:color w:val="000000"/>
          <w:szCs w:val="24"/>
        </w:rPr>
        <w:t>donation date is acknowledged by the Library CEO</w:t>
      </w:r>
      <w:proofErr w:type="gramEnd"/>
      <w:r w:rsidRPr="00421062">
        <w:rPr>
          <w:rFonts w:cs="Arial"/>
          <w:color w:val="000000"/>
          <w:szCs w:val="24"/>
        </w:rPr>
        <w:t xml:space="preserve">.  </w:t>
      </w:r>
    </w:p>
    <w:p w:rsidR="00B1028E" w:rsidRDefault="00B1028E" w:rsidP="00B1028E">
      <w:pPr>
        <w:pStyle w:val="ListParagraph"/>
        <w:numPr>
          <w:ilvl w:val="0"/>
          <w:numId w:val="6"/>
        </w:numPr>
        <w:spacing w:after="0" w:line="240" w:lineRule="auto"/>
        <w:rPr>
          <w:rFonts w:cs="Arial"/>
          <w:color w:val="000000"/>
          <w:szCs w:val="24"/>
        </w:rPr>
      </w:pPr>
      <w:r w:rsidRPr="00421062">
        <w:rPr>
          <w:rFonts w:cs="Arial"/>
          <w:color w:val="000000"/>
          <w:szCs w:val="24"/>
        </w:rPr>
        <w:t xml:space="preserve">Tax receipts </w:t>
      </w:r>
      <w:proofErr w:type="gramStart"/>
      <w:r w:rsidRPr="00421062">
        <w:rPr>
          <w:rFonts w:cs="Arial"/>
          <w:color w:val="000000"/>
          <w:szCs w:val="24"/>
        </w:rPr>
        <w:t>will be issued</w:t>
      </w:r>
      <w:proofErr w:type="gramEnd"/>
      <w:r w:rsidRPr="00421062">
        <w:rPr>
          <w:rFonts w:cs="Arial"/>
          <w:color w:val="000000"/>
          <w:szCs w:val="24"/>
        </w:rPr>
        <w:t xml:space="preserve"> for any monetary gift of $10.00 or more and when the value of an in-kind gift is in excess of $25.00.</w:t>
      </w:r>
    </w:p>
    <w:p w:rsidR="00421062" w:rsidRPr="00421062" w:rsidRDefault="00421062" w:rsidP="00421062">
      <w:pPr>
        <w:spacing w:after="0" w:line="240" w:lineRule="auto"/>
        <w:ind w:left="360"/>
        <w:rPr>
          <w:rFonts w:cs="Arial"/>
          <w:color w:val="000000"/>
          <w:szCs w:val="24"/>
        </w:rPr>
      </w:pPr>
    </w:p>
    <w:p w:rsidR="00B1028E" w:rsidRPr="00B1028E" w:rsidRDefault="00B1028E" w:rsidP="00B1028E">
      <w:pPr>
        <w:pStyle w:val="Heading2"/>
      </w:pPr>
      <w:r w:rsidRPr="00B1028E">
        <w:t>Donor Recognition</w:t>
      </w:r>
    </w:p>
    <w:p w:rsidR="00421062" w:rsidRDefault="00B1028E" w:rsidP="00B1028E">
      <w:pPr>
        <w:pStyle w:val="ListParagraph"/>
        <w:numPr>
          <w:ilvl w:val="0"/>
          <w:numId w:val="7"/>
        </w:numPr>
        <w:spacing w:after="0" w:line="240" w:lineRule="auto"/>
        <w:rPr>
          <w:rFonts w:cs="Arial"/>
          <w:color w:val="000000"/>
          <w:szCs w:val="24"/>
        </w:rPr>
      </w:pPr>
      <w:r w:rsidRPr="00421062">
        <w:rPr>
          <w:rFonts w:cs="Arial"/>
          <w:color w:val="000000"/>
          <w:szCs w:val="24"/>
        </w:rPr>
        <w:t xml:space="preserve">All donations to the Library </w:t>
      </w:r>
      <w:proofErr w:type="gramStart"/>
      <w:r w:rsidRPr="00421062">
        <w:rPr>
          <w:rFonts w:cs="Arial"/>
          <w:color w:val="000000"/>
          <w:szCs w:val="24"/>
        </w:rPr>
        <w:t>will be given</w:t>
      </w:r>
      <w:proofErr w:type="gramEnd"/>
      <w:r w:rsidRPr="00421062">
        <w:rPr>
          <w:rFonts w:cs="Arial"/>
          <w:color w:val="000000"/>
          <w:szCs w:val="24"/>
        </w:rPr>
        <w:t xml:space="preserve"> formal acknowledgement via a written </w:t>
      </w:r>
      <w:r w:rsidR="00421062" w:rsidRPr="00421062">
        <w:rPr>
          <w:rFonts w:cs="Arial"/>
          <w:color w:val="000000"/>
          <w:szCs w:val="24"/>
        </w:rPr>
        <w:t>‘thank you’</w:t>
      </w:r>
      <w:r w:rsidRPr="00421062">
        <w:rPr>
          <w:rFonts w:cs="Arial"/>
          <w:color w:val="000000"/>
          <w:szCs w:val="24"/>
        </w:rPr>
        <w:t xml:space="preserve"> card.</w:t>
      </w:r>
    </w:p>
    <w:p w:rsidR="00421062" w:rsidRDefault="00B1028E" w:rsidP="00B1028E">
      <w:pPr>
        <w:pStyle w:val="ListParagraph"/>
        <w:numPr>
          <w:ilvl w:val="0"/>
          <w:numId w:val="7"/>
        </w:numPr>
        <w:spacing w:after="0" w:line="240" w:lineRule="auto"/>
        <w:rPr>
          <w:rFonts w:cs="Arial"/>
          <w:color w:val="000000"/>
          <w:szCs w:val="24"/>
        </w:rPr>
      </w:pPr>
      <w:r w:rsidRPr="00421062">
        <w:rPr>
          <w:rFonts w:cs="Arial"/>
          <w:color w:val="000000"/>
          <w:szCs w:val="24"/>
        </w:rPr>
        <w:t xml:space="preserve">The Perth East Public Library will respect requests for anonymity.  </w:t>
      </w:r>
    </w:p>
    <w:p w:rsidR="00421062" w:rsidRDefault="00B1028E" w:rsidP="00B1028E">
      <w:pPr>
        <w:pStyle w:val="ListParagraph"/>
        <w:numPr>
          <w:ilvl w:val="1"/>
          <w:numId w:val="7"/>
        </w:numPr>
        <w:spacing w:after="0" w:line="240" w:lineRule="auto"/>
        <w:rPr>
          <w:rFonts w:cs="Arial"/>
          <w:color w:val="000000"/>
          <w:szCs w:val="24"/>
        </w:rPr>
      </w:pPr>
      <w:r w:rsidRPr="00421062">
        <w:rPr>
          <w:rFonts w:cs="Arial"/>
          <w:color w:val="000000"/>
          <w:szCs w:val="24"/>
        </w:rPr>
        <w:t xml:space="preserve">The names of Library donors </w:t>
      </w:r>
      <w:proofErr w:type="gramStart"/>
      <w:r w:rsidRPr="00421062">
        <w:rPr>
          <w:rFonts w:cs="Arial"/>
          <w:color w:val="000000"/>
          <w:szCs w:val="24"/>
        </w:rPr>
        <w:t>will not be released</w:t>
      </w:r>
      <w:proofErr w:type="gramEnd"/>
      <w:r w:rsidRPr="00421062">
        <w:rPr>
          <w:rFonts w:cs="Arial"/>
          <w:color w:val="000000"/>
          <w:szCs w:val="24"/>
        </w:rPr>
        <w:t xml:space="preserve"> without their consent.  </w:t>
      </w:r>
    </w:p>
    <w:p w:rsidR="00421062" w:rsidRDefault="00B1028E" w:rsidP="00421062">
      <w:pPr>
        <w:pStyle w:val="ListParagraph"/>
        <w:numPr>
          <w:ilvl w:val="0"/>
          <w:numId w:val="7"/>
        </w:numPr>
        <w:spacing w:after="0" w:line="240" w:lineRule="auto"/>
        <w:rPr>
          <w:rFonts w:cs="Arial"/>
          <w:color w:val="000000"/>
          <w:szCs w:val="24"/>
        </w:rPr>
      </w:pPr>
      <w:r w:rsidRPr="00421062">
        <w:rPr>
          <w:rFonts w:cs="Arial"/>
          <w:color w:val="000000"/>
          <w:szCs w:val="24"/>
        </w:rPr>
        <w:t>Donors must receive approval from the Perth East Public Library Board to make public use of the Library name for the purposes of publicizing the details of any donation made to the Library.</w:t>
      </w:r>
    </w:p>
    <w:p w:rsidR="00421062" w:rsidRPr="00421062" w:rsidRDefault="00B1028E" w:rsidP="00421062">
      <w:pPr>
        <w:pStyle w:val="ListParagraph"/>
        <w:numPr>
          <w:ilvl w:val="0"/>
          <w:numId w:val="7"/>
        </w:numPr>
        <w:spacing w:after="0" w:line="240" w:lineRule="auto"/>
        <w:rPr>
          <w:rFonts w:cs="Arial"/>
          <w:color w:val="000000"/>
          <w:szCs w:val="24"/>
        </w:rPr>
      </w:pPr>
      <w:r w:rsidRPr="00421062">
        <w:rPr>
          <w:rFonts w:cs="Arial"/>
          <w:szCs w:val="24"/>
        </w:rPr>
        <w:t xml:space="preserve">Bookplates will be placed in library materials purchased with </w:t>
      </w:r>
      <w:r w:rsidR="00421062">
        <w:rPr>
          <w:rFonts w:cs="Arial"/>
          <w:szCs w:val="24"/>
        </w:rPr>
        <w:t>gift funds, format permitting.</w:t>
      </w:r>
    </w:p>
    <w:p w:rsidR="00421062" w:rsidRPr="00421062" w:rsidRDefault="00B1028E" w:rsidP="00421062">
      <w:pPr>
        <w:pStyle w:val="ListParagraph"/>
        <w:numPr>
          <w:ilvl w:val="0"/>
          <w:numId w:val="7"/>
        </w:numPr>
        <w:spacing w:after="0" w:line="240" w:lineRule="auto"/>
        <w:rPr>
          <w:rFonts w:cs="Arial"/>
          <w:color w:val="000000"/>
          <w:szCs w:val="24"/>
        </w:rPr>
      </w:pPr>
      <w:r w:rsidRPr="00421062">
        <w:rPr>
          <w:rFonts w:cs="Arial"/>
          <w:szCs w:val="24"/>
        </w:rPr>
        <w:lastRenderedPageBreak/>
        <w:t xml:space="preserve">Programs and services made possible by gift funds will include recognition of such benefactors in the supporting literature. </w:t>
      </w:r>
    </w:p>
    <w:p w:rsidR="00421062" w:rsidRPr="00421062" w:rsidRDefault="00B1028E" w:rsidP="00421062">
      <w:pPr>
        <w:pStyle w:val="ListParagraph"/>
        <w:numPr>
          <w:ilvl w:val="0"/>
          <w:numId w:val="7"/>
        </w:numPr>
        <w:spacing w:after="0" w:line="240" w:lineRule="auto"/>
        <w:rPr>
          <w:rFonts w:cs="Arial"/>
          <w:color w:val="000000"/>
          <w:szCs w:val="24"/>
        </w:rPr>
      </w:pPr>
      <w:r w:rsidRPr="00421062">
        <w:rPr>
          <w:rFonts w:cs="Arial"/>
          <w:szCs w:val="24"/>
        </w:rPr>
        <w:t xml:space="preserve">Recognition of gifts </w:t>
      </w:r>
      <w:proofErr w:type="gramStart"/>
      <w:r w:rsidRPr="00421062">
        <w:rPr>
          <w:rFonts w:cs="Arial"/>
          <w:szCs w:val="24"/>
        </w:rPr>
        <w:t>may also be made</w:t>
      </w:r>
      <w:proofErr w:type="gramEnd"/>
      <w:r w:rsidRPr="00421062">
        <w:rPr>
          <w:rFonts w:cs="Arial"/>
          <w:szCs w:val="24"/>
        </w:rPr>
        <w:t xml:space="preserve"> through the library website, social media platforms, and/or announcement in the local newspaper. </w:t>
      </w:r>
    </w:p>
    <w:p w:rsidR="00B1028E" w:rsidRPr="00421062" w:rsidRDefault="00B1028E" w:rsidP="00421062">
      <w:pPr>
        <w:pStyle w:val="ListParagraph"/>
        <w:numPr>
          <w:ilvl w:val="0"/>
          <w:numId w:val="7"/>
        </w:numPr>
        <w:spacing w:after="0" w:line="240" w:lineRule="auto"/>
        <w:rPr>
          <w:rFonts w:cs="Arial"/>
          <w:color w:val="000000"/>
          <w:szCs w:val="24"/>
        </w:rPr>
      </w:pPr>
      <w:r w:rsidRPr="00421062">
        <w:rPr>
          <w:rFonts w:cs="Arial"/>
          <w:szCs w:val="24"/>
        </w:rPr>
        <w:t xml:space="preserve">A plaque </w:t>
      </w:r>
      <w:proofErr w:type="gramStart"/>
      <w:r w:rsidRPr="00421062">
        <w:rPr>
          <w:rFonts w:cs="Arial"/>
          <w:szCs w:val="24"/>
        </w:rPr>
        <w:t>may be made</w:t>
      </w:r>
      <w:proofErr w:type="gramEnd"/>
      <w:r w:rsidRPr="00421062">
        <w:rPr>
          <w:rFonts w:cs="Arial"/>
          <w:szCs w:val="24"/>
        </w:rPr>
        <w:t xml:space="preserve"> to recognize property purchased with gift funds exceeding ten thousand ($10,000) dollars.</w:t>
      </w:r>
    </w:p>
    <w:p w:rsidR="00B1028E" w:rsidRDefault="00B1028E" w:rsidP="00B1028E">
      <w:pPr>
        <w:spacing w:after="0" w:line="240" w:lineRule="auto"/>
        <w:rPr>
          <w:rFonts w:cs="Arial"/>
          <w:b/>
          <w:color w:val="000000"/>
          <w:szCs w:val="24"/>
        </w:rPr>
      </w:pPr>
    </w:p>
    <w:p w:rsidR="00B1028E" w:rsidRPr="00E20CDA" w:rsidRDefault="00B1028E" w:rsidP="00B1028E">
      <w:pPr>
        <w:pStyle w:val="Heading2"/>
      </w:pPr>
      <w:r w:rsidRPr="00E20CDA">
        <w:t>Sponsorship</w:t>
      </w:r>
    </w:p>
    <w:p w:rsidR="00421062" w:rsidRPr="00421062" w:rsidRDefault="00B1028E" w:rsidP="00421062">
      <w:pPr>
        <w:pStyle w:val="Subtitle"/>
        <w:rPr>
          <w:rFonts w:ascii="Arial" w:hAnsi="Arial" w:cs="Arial"/>
          <w:i/>
          <w:sz w:val="24"/>
          <w:szCs w:val="24"/>
        </w:rPr>
      </w:pPr>
      <w:r w:rsidRPr="00421062">
        <w:rPr>
          <w:rFonts w:ascii="Arial" w:hAnsi="Arial" w:cs="Arial"/>
          <w:i/>
          <w:sz w:val="24"/>
          <w:szCs w:val="24"/>
        </w:rPr>
        <w:t xml:space="preserve">A sponsorship is a mutually beneficial exchange.  </w:t>
      </w:r>
    </w:p>
    <w:p w:rsidR="00421062" w:rsidRDefault="00B1028E" w:rsidP="00421062">
      <w:pPr>
        <w:pStyle w:val="ListParagraph"/>
        <w:numPr>
          <w:ilvl w:val="0"/>
          <w:numId w:val="8"/>
        </w:numPr>
        <w:spacing w:after="0" w:line="240" w:lineRule="auto"/>
        <w:rPr>
          <w:rFonts w:cs="Arial"/>
          <w:color w:val="000000"/>
          <w:szCs w:val="24"/>
        </w:rPr>
      </w:pPr>
      <w:r w:rsidRPr="00421062">
        <w:rPr>
          <w:rFonts w:cs="Arial"/>
          <w:color w:val="000000"/>
          <w:szCs w:val="24"/>
        </w:rPr>
        <w:t xml:space="preserve">Tax receipts </w:t>
      </w:r>
      <w:proofErr w:type="gramStart"/>
      <w:r w:rsidRPr="00421062">
        <w:rPr>
          <w:rFonts w:cs="Arial"/>
          <w:color w:val="000000"/>
          <w:szCs w:val="24"/>
        </w:rPr>
        <w:t>are not issued</w:t>
      </w:r>
      <w:proofErr w:type="gramEnd"/>
      <w:r w:rsidRPr="00421062">
        <w:rPr>
          <w:rFonts w:cs="Arial"/>
          <w:color w:val="000000"/>
          <w:szCs w:val="24"/>
        </w:rPr>
        <w:t xml:space="preserve"> for sponsorships.  </w:t>
      </w:r>
    </w:p>
    <w:p w:rsidR="00421062" w:rsidRDefault="00B1028E" w:rsidP="00421062">
      <w:pPr>
        <w:pStyle w:val="ListParagraph"/>
        <w:numPr>
          <w:ilvl w:val="0"/>
          <w:numId w:val="8"/>
        </w:numPr>
        <w:spacing w:after="0" w:line="240" w:lineRule="auto"/>
        <w:rPr>
          <w:rFonts w:cs="Arial"/>
          <w:color w:val="000000"/>
          <w:szCs w:val="24"/>
        </w:rPr>
      </w:pPr>
      <w:r w:rsidRPr="00421062">
        <w:rPr>
          <w:rFonts w:cs="Arial"/>
          <w:color w:val="000000"/>
          <w:szCs w:val="24"/>
        </w:rPr>
        <w:t>The Library reserves the right to refuse any sponsorship offer deemed to be inappropriate or unsuitable to the objectives of the Library.  T</w:t>
      </w:r>
    </w:p>
    <w:p w:rsidR="00421062" w:rsidRDefault="00B1028E" w:rsidP="00421062">
      <w:pPr>
        <w:pStyle w:val="ListParagraph"/>
        <w:numPr>
          <w:ilvl w:val="0"/>
          <w:numId w:val="8"/>
        </w:numPr>
        <w:spacing w:after="0" w:line="240" w:lineRule="auto"/>
        <w:rPr>
          <w:rFonts w:cs="Arial"/>
          <w:color w:val="000000"/>
          <w:szCs w:val="24"/>
        </w:rPr>
      </w:pPr>
      <w:proofErr w:type="gramStart"/>
      <w:r w:rsidRPr="00421062">
        <w:rPr>
          <w:rFonts w:cs="Arial"/>
          <w:color w:val="000000"/>
          <w:szCs w:val="24"/>
        </w:rPr>
        <w:t>he</w:t>
      </w:r>
      <w:proofErr w:type="gramEnd"/>
      <w:r w:rsidRPr="00421062">
        <w:rPr>
          <w:rFonts w:cs="Arial"/>
          <w:color w:val="000000"/>
          <w:szCs w:val="24"/>
        </w:rPr>
        <w:t xml:space="preserve"> sponsor shall have no influence on the policies and practices of the Library.  </w:t>
      </w:r>
    </w:p>
    <w:p w:rsidR="00421062" w:rsidRDefault="00B1028E" w:rsidP="00421062">
      <w:pPr>
        <w:pStyle w:val="ListParagraph"/>
        <w:numPr>
          <w:ilvl w:val="0"/>
          <w:numId w:val="8"/>
        </w:numPr>
        <w:spacing w:after="0" w:line="240" w:lineRule="auto"/>
        <w:rPr>
          <w:rFonts w:cs="Arial"/>
          <w:color w:val="000000"/>
          <w:szCs w:val="24"/>
        </w:rPr>
      </w:pPr>
      <w:r w:rsidRPr="00421062">
        <w:rPr>
          <w:rFonts w:cs="Arial"/>
          <w:color w:val="000000"/>
          <w:szCs w:val="24"/>
        </w:rPr>
        <w:t xml:space="preserve">Any sponsorship exclusivity </w:t>
      </w:r>
      <w:proofErr w:type="gramStart"/>
      <w:r w:rsidRPr="00421062">
        <w:rPr>
          <w:rFonts w:cs="Arial"/>
          <w:color w:val="000000"/>
          <w:szCs w:val="24"/>
        </w:rPr>
        <w:t>must be clearly defined</w:t>
      </w:r>
      <w:proofErr w:type="gramEnd"/>
      <w:r w:rsidRPr="00421062">
        <w:rPr>
          <w:rFonts w:cs="Arial"/>
          <w:color w:val="000000"/>
          <w:szCs w:val="24"/>
        </w:rPr>
        <w:t xml:space="preserve"> as the nature and extent.  </w:t>
      </w:r>
    </w:p>
    <w:p w:rsidR="00B1028E" w:rsidRPr="00421062" w:rsidRDefault="00B1028E" w:rsidP="00421062">
      <w:pPr>
        <w:pStyle w:val="ListParagraph"/>
        <w:numPr>
          <w:ilvl w:val="0"/>
          <w:numId w:val="8"/>
        </w:numPr>
        <w:spacing w:after="0" w:line="240" w:lineRule="auto"/>
        <w:rPr>
          <w:rFonts w:cs="Arial"/>
          <w:color w:val="000000"/>
          <w:szCs w:val="24"/>
        </w:rPr>
      </w:pPr>
      <w:r w:rsidRPr="00421062">
        <w:rPr>
          <w:rFonts w:cs="Arial"/>
          <w:color w:val="000000"/>
          <w:szCs w:val="24"/>
        </w:rPr>
        <w:t>The Library reserves the right to terminate an existing sponsorship should conditions arise during the life of the sponsorship that result in it conflicting with Library policy or no longer supporting the best interests of the Library.</w:t>
      </w:r>
    </w:p>
    <w:p w:rsidR="00B1028E" w:rsidRPr="00E20CDA" w:rsidRDefault="00B1028E" w:rsidP="00B1028E">
      <w:pPr>
        <w:spacing w:after="0" w:line="240" w:lineRule="auto"/>
        <w:rPr>
          <w:rFonts w:cs="Arial"/>
          <w:b/>
          <w:color w:val="000000"/>
          <w:szCs w:val="24"/>
        </w:rPr>
      </w:pPr>
    </w:p>
    <w:p w:rsidR="00B1028E" w:rsidRPr="00E20CDA" w:rsidRDefault="00B1028E" w:rsidP="00B1028E">
      <w:pPr>
        <w:pStyle w:val="Heading2"/>
      </w:pPr>
      <w:r w:rsidRPr="00E20CDA">
        <w:t xml:space="preserve">Temporary Loans </w:t>
      </w:r>
    </w:p>
    <w:p w:rsidR="00421062" w:rsidRDefault="00B1028E" w:rsidP="00421062">
      <w:pPr>
        <w:pStyle w:val="ListParagraph"/>
        <w:numPr>
          <w:ilvl w:val="0"/>
          <w:numId w:val="9"/>
        </w:numPr>
        <w:spacing w:after="0" w:line="240" w:lineRule="auto"/>
        <w:rPr>
          <w:rFonts w:cs="Arial"/>
          <w:color w:val="000000"/>
          <w:szCs w:val="24"/>
        </w:rPr>
      </w:pPr>
      <w:r w:rsidRPr="00421062">
        <w:rPr>
          <w:rFonts w:cs="Arial"/>
          <w:color w:val="000000"/>
          <w:szCs w:val="24"/>
        </w:rPr>
        <w:t xml:space="preserve">Requests to have items temporarily housed in the Library will be considered on a </w:t>
      </w:r>
      <w:proofErr w:type="gramStart"/>
      <w:r w:rsidRPr="00421062">
        <w:rPr>
          <w:rFonts w:cs="Arial"/>
          <w:color w:val="000000"/>
          <w:szCs w:val="24"/>
        </w:rPr>
        <w:t>case by case</w:t>
      </w:r>
      <w:proofErr w:type="gramEnd"/>
      <w:r w:rsidRPr="00421062">
        <w:rPr>
          <w:rFonts w:cs="Arial"/>
          <w:color w:val="000000"/>
          <w:szCs w:val="24"/>
        </w:rPr>
        <w:t xml:space="preserve"> basis.  </w:t>
      </w:r>
    </w:p>
    <w:p w:rsidR="00421062" w:rsidRDefault="00B1028E" w:rsidP="00421062">
      <w:pPr>
        <w:pStyle w:val="ListParagraph"/>
        <w:numPr>
          <w:ilvl w:val="0"/>
          <w:numId w:val="9"/>
        </w:numPr>
        <w:spacing w:after="0" w:line="240" w:lineRule="auto"/>
        <w:rPr>
          <w:rFonts w:cs="Arial"/>
          <w:color w:val="000000"/>
          <w:szCs w:val="24"/>
        </w:rPr>
      </w:pPr>
      <w:r w:rsidRPr="00421062">
        <w:rPr>
          <w:rFonts w:cs="Arial"/>
          <w:color w:val="000000"/>
          <w:szCs w:val="24"/>
        </w:rPr>
        <w:t xml:space="preserve">Generally, such requests </w:t>
      </w:r>
      <w:proofErr w:type="gramStart"/>
      <w:r w:rsidRPr="00421062">
        <w:rPr>
          <w:rFonts w:cs="Arial"/>
          <w:color w:val="000000"/>
          <w:szCs w:val="24"/>
        </w:rPr>
        <w:t>will not be accommodated</w:t>
      </w:r>
      <w:proofErr w:type="gramEnd"/>
      <w:r w:rsidRPr="00421062">
        <w:rPr>
          <w:rFonts w:cs="Arial"/>
          <w:color w:val="000000"/>
          <w:szCs w:val="24"/>
        </w:rPr>
        <w:t xml:space="preserve"> unless their benefit to the community (as determined by the CEO) outweighs the commitment of resources required to facilitate such temporary storage.  </w:t>
      </w:r>
    </w:p>
    <w:p w:rsidR="00B1028E" w:rsidRPr="00421062" w:rsidRDefault="00B1028E" w:rsidP="00421062">
      <w:pPr>
        <w:pStyle w:val="ListParagraph"/>
        <w:numPr>
          <w:ilvl w:val="0"/>
          <w:numId w:val="9"/>
        </w:numPr>
        <w:spacing w:after="0" w:line="240" w:lineRule="auto"/>
        <w:rPr>
          <w:rFonts w:cs="Arial"/>
          <w:color w:val="000000"/>
          <w:szCs w:val="24"/>
        </w:rPr>
      </w:pPr>
      <w:r w:rsidRPr="00421062">
        <w:rPr>
          <w:rFonts w:cs="Arial"/>
          <w:color w:val="000000"/>
          <w:szCs w:val="24"/>
        </w:rPr>
        <w:t>The CEO will have the authority to establish all of the terms and conditions of the acceptance of a temporary loan or gift.</w:t>
      </w:r>
    </w:p>
    <w:p w:rsidR="00B1028E" w:rsidRPr="00E20CDA" w:rsidRDefault="00B1028E" w:rsidP="00B1028E">
      <w:pPr>
        <w:spacing w:after="0" w:line="240" w:lineRule="auto"/>
        <w:rPr>
          <w:rFonts w:cs="Arial"/>
          <w:b/>
          <w:color w:val="000000"/>
          <w:szCs w:val="24"/>
        </w:rPr>
      </w:pPr>
    </w:p>
    <w:p w:rsidR="00B1028E" w:rsidRPr="00E20CDA" w:rsidRDefault="00B1028E" w:rsidP="00B1028E">
      <w:pPr>
        <w:pStyle w:val="Heading2"/>
      </w:pPr>
      <w:r w:rsidRPr="00E20CDA">
        <w:t>Disposal of Gifts</w:t>
      </w:r>
    </w:p>
    <w:p w:rsidR="00B1028E" w:rsidRPr="00E20CDA" w:rsidRDefault="00B1028E" w:rsidP="00B1028E">
      <w:pPr>
        <w:spacing w:after="0" w:line="240" w:lineRule="auto"/>
        <w:rPr>
          <w:rFonts w:cs="Arial"/>
          <w:color w:val="000000"/>
          <w:szCs w:val="24"/>
        </w:rPr>
      </w:pPr>
      <w:r w:rsidRPr="00E20CDA">
        <w:rPr>
          <w:rFonts w:cs="Arial"/>
          <w:color w:val="000000"/>
          <w:szCs w:val="24"/>
        </w:rPr>
        <w:t>Gifts-in-kind may be disposed of in one of the following ways:</w:t>
      </w:r>
    </w:p>
    <w:p w:rsidR="00B1028E" w:rsidRPr="00E20CDA" w:rsidRDefault="00B1028E" w:rsidP="00B1028E">
      <w:pPr>
        <w:pStyle w:val="ListParagraph"/>
        <w:numPr>
          <w:ilvl w:val="0"/>
          <w:numId w:val="4"/>
        </w:numPr>
        <w:spacing w:after="0" w:line="240" w:lineRule="auto"/>
        <w:rPr>
          <w:rFonts w:cs="Arial"/>
          <w:color w:val="000000"/>
          <w:szCs w:val="24"/>
        </w:rPr>
      </w:pPr>
      <w:r w:rsidRPr="00E20CDA">
        <w:rPr>
          <w:rFonts w:cs="Arial"/>
          <w:color w:val="000000"/>
          <w:szCs w:val="24"/>
        </w:rPr>
        <w:t xml:space="preserve">Collection materials may be weeded as per the Library’s Collection Development Policy </w:t>
      </w:r>
    </w:p>
    <w:p w:rsidR="00B1028E" w:rsidRPr="00E20CDA" w:rsidRDefault="00B1028E" w:rsidP="00B1028E">
      <w:pPr>
        <w:pStyle w:val="ListParagraph"/>
        <w:numPr>
          <w:ilvl w:val="0"/>
          <w:numId w:val="4"/>
        </w:numPr>
        <w:spacing w:after="0" w:line="240" w:lineRule="auto"/>
        <w:rPr>
          <w:rFonts w:cs="Arial"/>
          <w:color w:val="000000"/>
          <w:szCs w:val="24"/>
        </w:rPr>
      </w:pPr>
      <w:r w:rsidRPr="00E20CDA">
        <w:rPr>
          <w:rFonts w:cs="Arial"/>
          <w:color w:val="000000"/>
          <w:szCs w:val="24"/>
        </w:rPr>
        <w:t>Returned to the donor or the donor’s family if the donor is no longer alive</w:t>
      </w:r>
    </w:p>
    <w:p w:rsidR="00B1028E" w:rsidRPr="00E20CDA" w:rsidRDefault="00B1028E" w:rsidP="00B1028E">
      <w:pPr>
        <w:pStyle w:val="ListParagraph"/>
        <w:numPr>
          <w:ilvl w:val="0"/>
          <w:numId w:val="4"/>
        </w:numPr>
        <w:spacing w:after="0" w:line="240" w:lineRule="auto"/>
        <w:rPr>
          <w:rFonts w:cs="Arial"/>
          <w:color w:val="000000"/>
          <w:szCs w:val="24"/>
        </w:rPr>
      </w:pPr>
      <w:r w:rsidRPr="00E20CDA">
        <w:rPr>
          <w:rFonts w:cs="Arial"/>
          <w:color w:val="000000"/>
          <w:szCs w:val="24"/>
        </w:rPr>
        <w:t>Offered to another Library or community organization</w:t>
      </w:r>
    </w:p>
    <w:p w:rsidR="00B1028E" w:rsidRPr="00E20CDA" w:rsidRDefault="00B1028E" w:rsidP="00B1028E">
      <w:pPr>
        <w:pStyle w:val="ListParagraph"/>
        <w:numPr>
          <w:ilvl w:val="0"/>
          <w:numId w:val="4"/>
        </w:numPr>
        <w:spacing w:after="0" w:line="240" w:lineRule="auto"/>
        <w:rPr>
          <w:rFonts w:cs="Arial"/>
          <w:color w:val="000000"/>
          <w:szCs w:val="24"/>
        </w:rPr>
      </w:pPr>
      <w:r w:rsidRPr="00E20CDA">
        <w:rPr>
          <w:rFonts w:cs="Arial"/>
          <w:color w:val="000000"/>
          <w:szCs w:val="24"/>
        </w:rPr>
        <w:t>Sold at a public auction or sale, discarded or destroyed as a last resort</w:t>
      </w:r>
    </w:p>
    <w:p w:rsidR="000B3712" w:rsidRDefault="000B3712"/>
    <w:sectPr w:rsidR="000B3712" w:rsidSect="00B1028E">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8E" w:rsidRDefault="00B1028E" w:rsidP="00B1028E">
      <w:pPr>
        <w:spacing w:after="0" w:line="240" w:lineRule="auto"/>
      </w:pPr>
      <w:r>
        <w:separator/>
      </w:r>
    </w:p>
  </w:endnote>
  <w:endnote w:type="continuationSeparator" w:id="0">
    <w:p w:rsidR="00B1028E" w:rsidRDefault="00B1028E" w:rsidP="00B1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8E" w:rsidRDefault="00B1028E" w:rsidP="00B1028E">
    <w:pPr>
      <w:spacing w:after="0" w:line="240" w:lineRule="auto"/>
    </w:pPr>
    <w:r>
      <w:t>Policy Type: Operational</w:t>
    </w:r>
  </w:p>
  <w:p w:rsidR="00B1028E" w:rsidRDefault="00066ED5" w:rsidP="00B1028E">
    <w:pPr>
      <w:spacing w:after="0" w:line="240" w:lineRule="auto"/>
    </w:pPr>
    <w:r>
      <w:t>Policy Number: OP-08</w:t>
    </w:r>
  </w:p>
  <w:p w:rsidR="00B1028E" w:rsidRDefault="00B1028E" w:rsidP="00B1028E">
    <w:pPr>
      <w:spacing w:after="0" w:line="240" w:lineRule="auto"/>
    </w:pPr>
    <w:r>
      <w:t>Approval Date: September 13, 2011</w:t>
    </w:r>
  </w:p>
  <w:p w:rsidR="00B1028E" w:rsidRDefault="00B1028E" w:rsidP="00B1028E">
    <w:pPr>
      <w:spacing w:after="0" w:line="240" w:lineRule="auto"/>
    </w:pPr>
    <w:r>
      <w:t>Last Reviewed: June 11, 2019</w:t>
    </w:r>
  </w:p>
  <w:p w:rsidR="00B1028E" w:rsidRDefault="00B1028E" w:rsidP="00B1028E">
    <w:pPr>
      <w:spacing w:after="0" w:line="240" w:lineRule="auto"/>
    </w:pPr>
    <w:r>
      <w:t>Next Review: June 2023</w:t>
    </w:r>
  </w:p>
  <w:p w:rsidR="00B1028E" w:rsidRDefault="00B1028E">
    <w:pPr>
      <w:pStyle w:val="Footer"/>
    </w:pPr>
  </w:p>
  <w:p w:rsidR="00B1028E" w:rsidRDefault="00B1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8E" w:rsidRDefault="00B1028E" w:rsidP="00B1028E">
      <w:pPr>
        <w:spacing w:after="0" w:line="240" w:lineRule="auto"/>
      </w:pPr>
      <w:r>
        <w:separator/>
      </w:r>
    </w:p>
  </w:footnote>
  <w:footnote w:type="continuationSeparator" w:id="0">
    <w:p w:rsidR="00B1028E" w:rsidRDefault="00B1028E" w:rsidP="00B1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525"/>
    <w:multiLevelType w:val="hybridMultilevel"/>
    <w:tmpl w:val="4E825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263831"/>
    <w:multiLevelType w:val="hybridMultilevel"/>
    <w:tmpl w:val="CE227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80684"/>
    <w:multiLevelType w:val="hybridMultilevel"/>
    <w:tmpl w:val="4CA49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4B778A"/>
    <w:multiLevelType w:val="hybridMultilevel"/>
    <w:tmpl w:val="84F2D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DB4839"/>
    <w:multiLevelType w:val="hybridMultilevel"/>
    <w:tmpl w:val="94840F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8A4043"/>
    <w:multiLevelType w:val="hybridMultilevel"/>
    <w:tmpl w:val="18304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B5617C"/>
    <w:multiLevelType w:val="hybridMultilevel"/>
    <w:tmpl w:val="22988A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F632D3"/>
    <w:multiLevelType w:val="hybridMultilevel"/>
    <w:tmpl w:val="0E260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D96453"/>
    <w:multiLevelType w:val="hybridMultilevel"/>
    <w:tmpl w:val="1F1E2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8E"/>
    <w:rsid w:val="00066ED5"/>
    <w:rsid w:val="000B3712"/>
    <w:rsid w:val="0027534E"/>
    <w:rsid w:val="00421062"/>
    <w:rsid w:val="008270DD"/>
    <w:rsid w:val="00B10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CF35"/>
  <w15:chartTrackingRefBased/>
  <w15:docId w15:val="{E642A1B1-8B4B-4F72-986E-A74DE15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28E"/>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ListParagraph">
    <w:name w:val="List Paragraph"/>
    <w:basedOn w:val="Normal"/>
    <w:uiPriority w:val="34"/>
    <w:qFormat/>
    <w:rsid w:val="00B1028E"/>
    <w:pPr>
      <w:ind w:left="720"/>
      <w:contextualSpacing/>
    </w:pPr>
  </w:style>
  <w:style w:type="paragraph" w:styleId="Header">
    <w:name w:val="header"/>
    <w:basedOn w:val="Normal"/>
    <w:link w:val="HeaderChar"/>
    <w:uiPriority w:val="99"/>
    <w:unhideWhenUsed/>
    <w:rsid w:val="00B1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8E"/>
  </w:style>
  <w:style w:type="paragraph" w:styleId="Footer">
    <w:name w:val="footer"/>
    <w:basedOn w:val="Normal"/>
    <w:link w:val="FooterChar"/>
    <w:uiPriority w:val="99"/>
    <w:unhideWhenUsed/>
    <w:rsid w:val="00B1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8E"/>
  </w:style>
  <w:style w:type="paragraph" w:styleId="Subtitle">
    <w:name w:val="Subtitle"/>
    <w:basedOn w:val="Normal"/>
    <w:next w:val="Normal"/>
    <w:link w:val="SubtitleChar"/>
    <w:uiPriority w:val="11"/>
    <w:qFormat/>
    <w:rsid w:val="0042106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2106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4</cp:revision>
  <dcterms:created xsi:type="dcterms:W3CDTF">2020-09-22T16:02:00Z</dcterms:created>
  <dcterms:modified xsi:type="dcterms:W3CDTF">2023-03-06T21:28:00Z</dcterms:modified>
</cp:coreProperties>
</file>